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6"/>
          <w:szCs w:val="36"/>
        </w:rPr>
      </w:pPr>
      <w:r>
        <w:rPr>
          <w:rFonts w:hint="eastAsia" w:ascii="黑体" w:hAnsi="黑体" w:eastAsia="黑体" w:cs="黑体"/>
          <w:b/>
          <w:bCs/>
          <w:sz w:val="36"/>
          <w:szCs w:val="36"/>
        </w:rPr>
        <w:t>编   制   说    明</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工程概况</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0" w:firstLineChars="0"/>
        <w:jc w:val="left"/>
        <w:textAlignment w:val="auto"/>
        <w:rPr>
          <w:rFonts w:hint="eastAsia" w:asciiTheme="minorEastAsia" w:hAnsiTheme="minorEastAsia" w:eastAsiaTheme="minorEastAsia" w:cstheme="minorEastAsia"/>
          <w:b w:val="0"/>
          <w:bCs w:val="0"/>
          <w:sz w:val="32"/>
          <w:szCs w:val="32"/>
        </w:rPr>
      </w:pPr>
      <w:r>
        <w:rPr>
          <w:rFonts w:hint="eastAsia" w:asciiTheme="minorEastAsia" w:hAnsiTheme="minorEastAsia" w:eastAsiaTheme="minorEastAsia" w:cstheme="minorEastAsia"/>
          <w:b w:val="0"/>
          <w:bCs w:val="0"/>
          <w:sz w:val="32"/>
          <w:szCs w:val="32"/>
        </w:rPr>
        <w:t>工程名称：阳西县奋兴中学改扩建项目</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0" w:firstLineChars="0"/>
        <w:jc w:val="left"/>
        <w:textAlignment w:val="auto"/>
        <w:rPr>
          <w:rFonts w:hint="eastAsia" w:asciiTheme="minorEastAsia" w:hAnsiTheme="minorEastAsia" w:eastAsiaTheme="minorEastAsia" w:cstheme="minorEastAsia"/>
          <w:b w:val="0"/>
          <w:bCs w:val="0"/>
          <w:sz w:val="32"/>
          <w:szCs w:val="32"/>
        </w:rPr>
      </w:pPr>
      <w:r>
        <w:rPr>
          <w:rFonts w:hint="eastAsia" w:asciiTheme="minorEastAsia" w:hAnsiTheme="minorEastAsia" w:eastAsiaTheme="minorEastAsia" w:cstheme="minorEastAsia"/>
          <w:b w:val="0"/>
          <w:bCs w:val="0"/>
          <w:sz w:val="32"/>
          <w:szCs w:val="32"/>
        </w:rPr>
        <w:t>建设单位：阳西县代建项目中心</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0" w:firstLineChars="0"/>
        <w:jc w:val="left"/>
        <w:textAlignment w:val="auto"/>
        <w:rPr>
          <w:rFonts w:hint="eastAsia" w:asciiTheme="minorEastAsia" w:hAnsiTheme="minorEastAsia" w:eastAsiaTheme="minorEastAsia" w:cstheme="minorEastAsia"/>
          <w:b w:val="0"/>
          <w:bCs w:val="0"/>
          <w:sz w:val="32"/>
          <w:szCs w:val="32"/>
        </w:rPr>
      </w:pPr>
      <w:r>
        <w:rPr>
          <w:rFonts w:hint="eastAsia" w:asciiTheme="minorEastAsia" w:hAnsiTheme="minorEastAsia" w:eastAsiaTheme="minorEastAsia" w:cstheme="minorEastAsia"/>
          <w:b w:val="0"/>
          <w:bCs w:val="0"/>
          <w:sz w:val="32"/>
          <w:szCs w:val="32"/>
        </w:rPr>
        <w:t>工程概述：阳西县奋兴中学改扩建项目设计图纸的全部内容，总建筑面积</w:t>
      </w:r>
      <w:r>
        <w:rPr>
          <w:rFonts w:hint="eastAsia" w:asciiTheme="minorEastAsia" w:hAnsiTheme="minorEastAsia" w:eastAsiaTheme="minorEastAsia" w:cstheme="minorEastAsia"/>
          <w:b w:val="0"/>
          <w:bCs w:val="0"/>
          <w:sz w:val="32"/>
          <w:szCs w:val="32"/>
          <w:lang w:val="en-US" w:eastAsia="zh-CN"/>
        </w:rPr>
        <w:t>9559.35</w:t>
      </w:r>
      <w:bookmarkStart w:id="0" w:name="_GoBack"/>
      <w:bookmarkEnd w:id="0"/>
      <w:r>
        <w:rPr>
          <w:rFonts w:hint="eastAsia" w:asciiTheme="minorEastAsia" w:hAnsiTheme="minorEastAsia" w:eastAsiaTheme="minorEastAsia" w:cstheme="minorEastAsia"/>
          <w:b w:val="0"/>
          <w:bCs w:val="0"/>
          <w:sz w:val="32"/>
          <w:szCs w:val="32"/>
        </w:rPr>
        <w:t>平方米，概算投资4000万元；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Theme="minorEastAsia" w:hAnsiTheme="minorEastAsia" w:eastAsiaTheme="minorEastAsia" w:cstheme="minorEastAsia"/>
          <w:b w:val="0"/>
          <w:bCs w:val="0"/>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0" w:firstLineChars="0"/>
        <w:jc w:val="left"/>
        <w:textAlignment w:val="auto"/>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编制依据</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Chars="0"/>
        <w:jc w:val="left"/>
        <w:textAlignment w:val="auto"/>
        <w:rPr>
          <w:rFonts w:hint="eastAsia" w:asciiTheme="minorEastAsia" w:hAnsiTheme="minorEastAsia" w:eastAsiaTheme="minorEastAsia" w:cstheme="minorEastAsia"/>
          <w:b w:val="0"/>
          <w:bCs w:val="0"/>
          <w:sz w:val="32"/>
          <w:szCs w:val="32"/>
        </w:rPr>
      </w:pPr>
      <w:r>
        <w:rPr>
          <w:rFonts w:hint="eastAsia" w:asciiTheme="minorEastAsia" w:hAnsiTheme="minorEastAsia" w:eastAsiaTheme="minorEastAsia" w:cstheme="minorEastAsia"/>
          <w:b w:val="0"/>
          <w:bCs w:val="0"/>
          <w:sz w:val="32"/>
          <w:szCs w:val="32"/>
        </w:rPr>
        <w:t>建设单位提供由一方设计集团有限公司设计的设计图纸、业务联系函的回复。</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0" w:firstLineChars="0"/>
        <w:jc w:val="left"/>
        <w:textAlignment w:val="auto"/>
        <w:rPr>
          <w:rFonts w:hint="eastAsia" w:asciiTheme="minorEastAsia" w:hAnsiTheme="minorEastAsia" w:eastAsiaTheme="minorEastAsia" w:cstheme="minorEastAsia"/>
          <w:b w:val="0"/>
          <w:bCs w:val="0"/>
          <w:sz w:val="32"/>
          <w:szCs w:val="32"/>
        </w:rPr>
      </w:pPr>
      <w:r>
        <w:rPr>
          <w:rFonts w:hint="eastAsia" w:asciiTheme="minorEastAsia" w:hAnsiTheme="minorEastAsia" w:cstheme="minorEastAsia"/>
          <w:b w:val="0"/>
          <w:bCs w:val="0"/>
          <w:sz w:val="32"/>
          <w:szCs w:val="32"/>
          <w:lang w:eastAsia="zh-CN"/>
        </w:rPr>
        <w:t>《建设工程工程量清单计价规范》（GB50500-2013）、《广东省建筑工程工程量清单计价指引（2013）》、《广东省通用安装工程工程量清单计价指引（2013）》、《广东省房屋建筑与装饰工程综合定额（2018）》、《广东省通用安装工程综合定额（2018）》、《广东省市政工程综合定额（2018）》、《广东省园林绿化工程综合定额(2018)》及本地区工程计价的有关文件</w:t>
      </w:r>
      <w:r>
        <w:rPr>
          <w:rFonts w:hint="eastAsia" w:asciiTheme="minorEastAsia" w:hAnsiTheme="minorEastAsia" w:eastAsiaTheme="minorEastAsia" w:cstheme="minorEastAsia"/>
          <w:b w:val="0"/>
          <w:bCs w:val="0"/>
          <w:sz w:val="32"/>
          <w:szCs w:val="32"/>
        </w:rPr>
        <w:t>。</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0" w:firstLineChars="0"/>
        <w:jc w:val="left"/>
        <w:textAlignment w:val="auto"/>
        <w:rPr>
          <w:rFonts w:hint="eastAsia" w:asciiTheme="minorEastAsia" w:hAnsiTheme="minorEastAsia" w:eastAsiaTheme="minorEastAsia" w:cstheme="minorEastAsia"/>
          <w:b w:val="0"/>
          <w:bCs w:val="0"/>
          <w:sz w:val="32"/>
          <w:szCs w:val="32"/>
        </w:rPr>
      </w:pPr>
      <w:r>
        <w:rPr>
          <w:rFonts w:hint="eastAsia" w:asciiTheme="minorEastAsia" w:hAnsiTheme="minorEastAsia" w:eastAsiaTheme="minorEastAsia" w:cstheme="minorEastAsia"/>
          <w:b w:val="0"/>
          <w:bCs w:val="0"/>
          <w:sz w:val="32"/>
          <w:szCs w:val="32"/>
        </w:rPr>
        <w:t>主要材料根据阳江市建设工程造价站</w:t>
      </w:r>
      <w:r>
        <w:rPr>
          <w:rFonts w:hint="eastAsia" w:asciiTheme="minorEastAsia" w:hAnsiTheme="minorEastAsia" w:eastAsiaTheme="minorEastAsia" w:cstheme="minorEastAsia"/>
          <w:b w:val="0"/>
          <w:bCs w:val="0"/>
          <w:color w:val="auto"/>
          <w:sz w:val="32"/>
          <w:szCs w:val="32"/>
        </w:rPr>
        <w:t>202</w:t>
      </w:r>
      <w:r>
        <w:rPr>
          <w:rFonts w:hint="eastAsia" w:asciiTheme="minorEastAsia" w:hAnsiTheme="minorEastAsia" w:cstheme="minorEastAsia"/>
          <w:b w:val="0"/>
          <w:bCs w:val="0"/>
          <w:color w:val="auto"/>
          <w:sz w:val="32"/>
          <w:szCs w:val="32"/>
          <w:lang w:val="en-US" w:eastAsia="zh-CN"/>
        </w:rPr>
        <w:t>3</w:t>
      </w:r>
      <w:r>
        <w:rPr>
          <w:rFonts w:hint="eastAsia" w:asciiTheme="minorEastAsia" w:hAnsiTheme="minorEastAsia" w:eastAsiaTheme="minorEastAsia" w:cstheme="minorEastAsia"/>
          <w:b w:val="0"/>
          <w:bCs w:val="0"/>
          <w:color w:val="auto"/>
          <w:sz w:val="32"/>
          <w:szCs w:val="32"/>
        </w:rPr>
        <w:t>年</w:t>
      </w:r>
      <w:r>
        <w:rPr>
          <w:rFonts w:hint="eastAsia" w:asciiTheme="minorEastAsia" w:hAnsiTheme="minorEastAsia" w:cstheme="minorEastAsia"/>
          <w:b w:val="0"/>
          <w:bCs w:val="0"/>
          <w:color w:val="auto"/>
          <w:sz w:val="32"/>
          <w:szCs w:val="32"/>
          <w:lang w:val="en-US" w:eastAsia="zh-CN"/>
        </w:rPr>
        <w:t>4</w:t>
      </w:r>
      <w:r>
        <w:rPr>
          <w:rFonts w:hint="eastAsia" w:asciiTheme="minorEastAsia" w:hAnsiTheme="minorEastAsia" w:eastAsiaTheme="minorEastAsia" w:cstheme="minorEastAsia"/>
          <w:b w:val="0"/>
          <w:bCs w:val="0"/>
          <w:sz w:val="32"/>
          <w:szCs w:val="32"/>
        </w:rPr>
        <w:t>月公布的《阳江市工程造价信息》阳西县材料价格，缺项部分参考阳江信息价以及市场价,参考的信息价和市场价已扣除相关税费。</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0" w:firstLineChars="0"/>
        <w:jc w:val="left"/>
        <w:textAlignment w:val="auto"/>
        <w:rPr>
          <w:rFonts w:hint="eastAsia" w:asciiTheme="minorEastAsia" w:hAnsiTheme="minorEastAsia" w:eastAsiaTheme="minorEastAsia" w:cstheme="minorEastAsia"/>
          <w:b w:val="0"/>
          <w:bCs w:val="0"/>
          <w:sz w:val="32"/>
          <w:szCs w:val="32"/>
        </w:rPr>
      </w:pPr>
      <w:r>
        <w:rPr>
          <w:rFonts w:hint="eastAsia" w:asciiTheme="minorEastAsia" w:hAnsiTheme="minorEastAsia" w:eastAsiaTheme="minorEastAsia" w:cstheme="minorEastAsia"/>
          <w:b w:val="0"/>
          <w:bCs w:val="0"/>
          <w:sz w:val="32"/>
          <w:szCs w:val="32"/>
        </w:rPr>
        <w:t>利润均按定额相关专业规定计取，绿色施工安全防护措施费建筑工程按19%计取、安装工程按35.77%计取、市政工程按1</w:t>
      </w:r>
      <w:r>
        <w:rPr>
          <w:rFonts w:hint="eastAsia" w:asciiTheme="minorEastAsia" w:hAnsiTheme="minorEastAsia" w:cstheme="minorEastAsia"/>
          <w:b w:val="0"/>
          <w:bCs w:val="0"/>
          <w:sz w:val="32"/>
          <w:szCs w:val="32"/>
          <w:lang w:val="en-US" w:eastAsia="zh-CN"/>
        </w:rPr>
        <w:t>6</w:t>
      </w:r>
      <w:r>
        <w:rPr>
          <w:rFonts w:hint="eastAsia" w:asciiTheme="minorEastAsia" w:hAnsiTheme="minorEastAsia" w:eastAsiaTheme="minorEastAsia" w:cstheme="minorEastAsia"/>
          <w:b w:val="0"/>
          <w:bCs w:val="0"/>
          <w:sz w:val="32"/>
          <w:szCs w:val="32"/>
        </w:rPr>
        <w:t>.5%计取，预算包干费建筑工程按7%计取、安装工程按10%计取、市政工程按6%计取，增值税销项税额根据《广东省住房和城乡建设厅》粤建标函〔2019〕819号文的规定按9%计取。</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0" w:firstLineChars="0"/>
        <w:jc w:val="left"/>
        <w:textAlignment w:val="auto"/>
        <w:rPr>
          <w:rFonts w:hint="eastAsia" w:asciiTheme="minorEastAsia" w:hAnsiTheme="minorEastAsia" w:eastAsiaTheme="minorEastAsia" w:cstheme="minorEastAsia"/>
          <w:b w:val="0"/>
          <w:bCs w:val="0"/>
          <w:sz w:val="32"/>
          <w:szCs w:val="32"/>
        </w:rPr>
      </w:pPr>
      <w:r>
        <w:rPr>
          <w:rFonts w:hint="eastAsia" w:asciiTheme="minorEastAsia" w:hAnsiTheme="minorEastAsia" w:eastAsiaTheme="minorEastAsia" w:cstheme="minorEastAsia"/>
          <w:b w:val="0"/>
          <w:bCs w:val="0"/>
          <w:sz w:val="32"/>
          <w:szCs w:val="32"/>
        </w:rPr>
        <w:t>根据阳江市住房及城乡规划建设局颁布的阳住建通[2019]111号文规定，人工费暂按定额人工费计算，定额动态人工费调整系数暂定为1.0施工机具台班费用中人工单价按《广东省建设工程施工机具台班费用编制规则（2018）》的人工单价计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Theme="minorEastAsia" w:hAnsiTheme="minorEastAsia" w:eastAsiaTheme="minorEastAsia" w:cstheme="minorEastAsia"/>
          <w:b w:val="0"/>
          <w:bCs w:val="0"/>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0" w:firstLineChars="0"/>
        <w:jc w:val="left"/>
        <w:textAlignment w:val="auto"/>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其他说明</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Chars="0"/>
        <w:jc w:val="left"/>
        <w:textAlignment w:val="auto"/>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一般说明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Theme="minorEastAsia" w:hAnsiTheme="minorEastAsia" w:eastAsiaTheme="minorEastAsia" w:cstheme="minorEastAsia"/>
          <w:b w:val="0"/>
          <w:bCs w:val="0"/>
          <w:sz w:val="32"/>
          <w:szCs w:val="32"/>
        </w:rPr>
      </w:pPr>
      <w:r>
        <w:rPr>
          <w:rFonts w:hint="eastAsia" w:asciiTheme="minorEastAsia" w:hAnsiTheme="minorEastAsia" w:cstheme="minorEastAsia"/>
          <w:b w:val="0"/>
          <w:bCs w:val="0"/>
          <w:sz w:val="32"/>
          <w:szCs w:val="32"/>
          <w:lang w:val="en-US" w:eastAsia="zh-CN"/>
        </w:rPr>
        <w:t>1.1</w:t>
      </w:r>
      <w:r>
        <w:rPr>
          <w:rFonts w:hint="eastAsia" w:asciiTheme="minorEastAsia" w:hAnsiTheme="minorEastAsia" w:eastAsiaTheme="minorEastAsia" w:cstheme="minorEastAsia"/>
          <w:b w:val="0"/>
          <w:bCs w:val="0"/>
          <w:sz w:val="32"/>
          <w:szCs w:val="32"/>
        </w:rPr>
        <w:t>本工程暂列金额</w:t>
      </w:r>
      <w:r>
        <w:rPr>
          <w:rFonts w:hint="eastAsia" w:asciiTheme="minorEastAsia" w:hAnsiTheme="minorEastAsia" w:cstheme="minorEastAsia"/>
          <w:b w:val="0"/>
          <w:bCs w:val="0"/>
          <w:sz w:val="32"/>
          <w:szCs w:val="32"/>
          <w:lang w:val="en-US" w:eastAsia="zh-CN"/>
        </w:rPr>
        <w:t>根据业务联系函复函</w:t>
      </w:r>
      <w:r>
        <w:rPr>
          <w:rFonts w:hint="eastAsia" w:asciiTheme="minorEastAsia" w:hAnsiTheme="minorEastAsia" w:eastAsiaTheme="minorEastAsia" w:cstheme="minorEastAsia"/>
          <w:b w:val="0"/>
          <w:bCs w:val="0"/>
          <w:sz w:val="32"/>
          <w:szCs w:val="32"/>
        </w:rPr>
        <w:t>按分部分项工程费的</w:t>
      </w:r>
      <w:r>
        <w:rPr>
          <w:rFonts w:hint="eastAsia" w:asciiTheme="minorEastAsia" w:hAnsiTheme="minorEastAsia" w:cstheme="minorEastAsia"/>
          <w:b w:val="0"/>
          <w:bCs w:val="0"/>
          <w:sz w:val="32"/>
          <w:szCs w:val="32"/>
          <w:lang w:val="en-US" w:eastAsia="zh-CN"/>
        </w:rPr>
        <w:t>9</w:t>
      </w:r>
      <w:r>
        <w:rPr>
          <w:rFonts w:hint="eastAsia" w:asciiTheme="minorEastAsia" w:hAnsiTheme="minorEastAsia" w:eastAsiaTheme="minorEastAsia" w:cstheme="minorEastAsia"/>
          <w:b w:val="0"/>
          <w:bCs w:val="0"/>
          <w:sz w:val="32"/>
          <w:szCs w:val="32"/>
        </w:rPr>
        <w:t xml:space="preserve">%计算，不含税金暂列金额是1887183.25 </w:t>
      </w:r>
      <w:r>
        <w:rPr>
          <w:rFonts w:hint="eastAsia" w:asciiTheme="minorEastAsia" w:hAnsiTheme="minorEastAsia" w:cstheme="minorEastAsia"/>
          <w:b w:val="0"/>
          <w:bCs w:val="0"/>
          <w:sz w:val="32"/>
          <w:szCs w:val="32"/>
          <w:lang w:val="en-US" w:eastAsia="zh-CN"/>
        </w:rPr>
        <w:t>元</w:t>
      </w:r>
      <w:r>
        <w:rPr>
          <w:rFonts w:hint="eastAsia" w:asciiTheme="minorEastAsia" w:hAnsiTheme="minorEastAsia" w:eastAsiaTheme="minorEastAsia" w:cstheme="minorEastAsia"/>
          <w:b w:val="0"/>
          <w:bCs w:val="0"/>
          <w:sz w:val="32"/>
          <w:szCs w:val="32"/>
        </w:rPr>
        <w:t>，计入其他项目费。含税金的暂列金额是2057029.73 元</w:t>
      </w:r>
      <w:r>
        <w:rPr>
          <w:rFonts w:hint="eastAsia" w:asciiTheme="minorEastAsia" w:hAnsiTheme="minorEastAsia" w:cstheme="minorEastAsia"/>
          <w:b w:val="0"/>
          <w:bCs w:val="0"/>
          <w:sz w:val="32"/>
          <w:szCs w:val="32"/>
          <w:lang w:eastAsia="zh-CN"/>
        </w:rPr>
        <w:t>，</w:t>
      </w:r>
      <w:r>
        <w:rPr>
          <w:rFonts w:hint="eastAsia" w:asciiTheme="minorEastAsia" w:hAnsiTheme="minorEastAsia" w:eastAsiaTheme="minorEastAsia" w:cstheme="minorEastAsia"/>
          <w:b w:val="0"/>
          <w:bCs w:val="0"/>
          <w:sz w:val="32"/>
          <w:szCs w:val="32"/>
        </w:rPr>
        <w:t>虽计入工程造价总价，但不归施工单位所有，而是归建设单位所有。结算时应先扣除暂列金额，再计算增减工程。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Theme="minorEastAsia" w:hAnsiTheme="minorEastAsia" w:eastAsiaTheme="minorEastAsia" w:cstheme="minorEastAsia"/>
          <w:b w:val="0"/>
          <w:bCs w:val="0"/>
          <w:sz w:val="32"/>
          <w:szCs w:val="32"/>
        </w:rPr>
      </w:pPr>
      <w:r>
        <w:rPr>
          <w:rFonts w:hint="eastAsia" w:asciiTheme="minorEastAsia" w:hAnsiTheme="minorEastAsia" w:cstheme="minorEastAsia"/>
          <w:b w:val="0"/>
          <w:bCs w:val="0"/>
          <w:sz w:val="32"/>
          <w:szCs w:val="32"/>
          <w:lang w:val="en-US" w:eastAsia="zh-CN"/>
        </w:rPr>
        <w:t>1.2.本工程绿色施工安全防护措施费2227348.46 元(含税金)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1.3</w:t>
      </w:r>
      <w:r>
        <w:rPr>
          <w:rFonts w:hint="eastAsia" w:asciiTheme="minorEastAsia" w:hAnsiTheme="minorEastAsia" w:eastAsiaTheme="minorEastAsia" w:cstheme="minorEastAsia"/>
          <w:b w:val="0"/>
          <w:bCs w:val="0"/>
          <w:sz w:val="32"/>
          <w:szCs w:val="32"/>
        </w:rPr>
        <w:t>余土外运，运距根据业务联系函复函按5KM计算。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Theme="minorEastAsia" w:hAnsiTheme="minorEastAsia" w:eastAsiaTheme="minorEastAsia" w:cstheme="minorEastAsia"/>
          <w:b w:val="0"/>
          <w:bCs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Theme="minorEastAsia" w:hAnsiTheme="minorEastAsia" w:eastAsiaTheme="minorEastAsia" w:cstheme="minorEastAsia"/>
          <w:b w:val="0"/>
          <w:bCs w:val="0"/>
          <w:sz w:val="32"/>
          <w:szCs w:val="32"/>
        </w:rPr>
      </w:pPr>
      <w:r>
        <w:rPr>
          <w:rFonts w:hint="eastAsia" w:asciiTheme="minorEastAsia" w:hAnsiTheme="minorEastAsia" w:eastAsiaTheme="minorEastAsia" w:cstheme="minorEastAsia"/>
          <w:b w:val="0"/>
          <w:bCs w:val="0"/>
          <w:sz w:val="32"/>
          <w:szCs w:val="32"/>
        </w:rPr>
        <w:t>2.</w:t>
      </w:r>
      <w:r>
        <w:rPr>
          <w:rFonts w:hint="eastAsia" w:asciiTheme="minorEastAsia" w:hAnsiTheme="minorEastAsia" w:eastAsiaTheme="minorEastAsia" w:cstheme="minorEastAsia"/>
          <w:b/>
          <w:bCs/>
          <w:sz w:val="32"/>
          <w:szCs w:val="32"/>
        </w:rPr>
        <w:t>有关专业技术说明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Theme="minorEastAsia" w:hAnsiTheme="minorEastAsia" w:eastAsiaTheme="minorEastAsia" w:cstheme="minorEastAsia"/>
          <w:b w:val="0"/>
          <w:bCs w:val="0"/>
          <w:sz w:val="32"/>
          <w:szCs w:val="32"/>
        </w:rPr>
      </w:pPr>
      <w:r>
        <w:rPr>
          <w:rFonts w:hint="eastAsia" w:asciiTheme="minorEastAsia" w:hAnsiTheme="minorEastAsia" w:eastAsiaTheme="minorEastAsia" w:cstheme="minorEastAsia"/>
          <w:b w:val="0"/>
          <w:bCs w:val="0"/>
          <w:sz w:val="32"/>
          <w:szCs w:val="32"/>
        </w:rPr>
        <w:t>2.1.本工程分部分项工程量清单中对工程项目的项目特征及具体做法只作重点描述，详细情况见施工图设计、技术说明及相关标准图集。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Theme="minorEastAsia" w:hAnsiTheme="minorEastAsia" w:eastAsiaTheme="minorEastAsia" w:cstheme="minorEastAsia"/>
          <w:b w:val="0"/>
          <w:bCs w:val="0"/>
          <w:sz w:val="32"/>
          <w:szCs w:val="32"/>
        </w:rPr>
      </w:pPr>
      <w:r>
        <w:rPr>
          <w:rFonts w:hint="eastAsia" w:asciiTheme="minorEastAsia" w:hAnsiTheme="minorEastAsia" w:eastAsiaTheme="minorEastAsia" w:cstheme="minorEastAsia"/>
          <w:b w:val="0"/>
          <w:bCs w:val="0"/>
          <w:sz w:val="32"/>
          <w:szCs w:val="32"/>
        </w:rPr>
        <w:t>2.2.本说明未尽事项，以计价规范、工程量计算规范、计价管理办法以及有关的法律、法规、建设行政主管部门颁发的文件为准。</w:t>
      </w:r>
    </w:p>
    <w:sectPr>
      <w:pgSz w:w="11850" w:h="16783"/>
      <w:pgMar w:top="1157" w:right="1123" w:bottom="1157" w:left="140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2275DA"/>
    <w:multiLevelType w:val="singleLevel"/>
    <w:tmpl w:val="AC2275DA"/>
    <w:lvl w:ilvl="0" w:tentative="0">
      <w:start w:val="1"/>
      <w:numFmt w:val="decimal"/>
      <w:suff w:val="nothing"/>
      <w:lvlText w:val="%1、"/>
      <w:lvlJc w:val="left"/>
    </w:lvl>
  </w:abstractNum>
  <w:abstractNum w:abstractNumId="1">
    <w:nsid w:val="B37E127D"/>
    <w:multiLevelType w:val="multilevel"/>
    <w:tmpl w:val="B37E127D"/>
    <w:lvl w:ilvl="0" w:tentative="0">
      <w:start w:val="1"/>
      <w:numFmt w:val="decimal"/>
      <w:lvlText w:val="%1."/>
      <w:lvlJc w:val="left"/>
      <w:pPr>
        <w:tabs>
          <w:tab w:val="left" w:pos="312"/>
        </w:tabs>
      </w:pPr>
    </w:lvl>
    <w:lvl w:ilvl="1" w:tentative="0">
      <w:start w:val="1"/>
      <w:numFmt w:val="decimal"/>
      <w:lvlText w:val="%1.%2."/>
      <w:lvlJc w:val="left"/>
      <w:pPr>
        <w:tabs>
          <w:tab w:val="left" w:pos="312"/>
        </w:tabs>
        <w:ind w:left="0" w:leftChars="0" w:firstLine="0" w:firstLineChars="0"/>
      </w:pPr>
      <w:rPr>
        <w:rFonts w:hint="default"/>
      </w:rPr>
    </w:lvl>
    <w:lvl w:ilvl="2" w:tentative="0">
      <w:start w:val="1"/>
      <w:numFmt w:val="decimal"/>
      <w:lvlText w:val="%1.%2.%3."/>
      <w:lvlJc w:val="left"/>
      <w:pPr>
        <w:tabs>
          <w:tab w:val="left" w:pos="312"/>
        </w:tabs>
        <w:ind w:left="0" w:leftChars="0" w:firstLine="0" w:firstLineChars="0"/>
      </w:pPr>
      <w:rPr>
        <w:rFonts w:hint="default"/>
      </w:rPr>
    </w:lvl>
    <w:lvl w:ilvl="3" w:tentative="0">
      <w:start w:val="1"/>
      <w:numFmt w:val="decimal"/>
      <w:lvlText w:val="%1.%2.%3.%4."/>
      <w:lvlJc w:val="left"/>
      <w:pPr>
        <w:tabs>
          <w:tab w:val="left" w:pos="312"/>
        </w:tabs>
        <w:ind w:left="0" w:leftChars="0" w:firstLine="0" w:firstLineChars="0"/>
      </w:pPr>
      <w:rPr>
        <w:rFonts w:hint="default"/>
      </w:rPr>
    </w:lvl>
    <w:lvl w:ilvl="4" w:tentative="0">
      <w:start w:val="1"/>
      <w:numFmt w:val="decimal"/>
      <w:lvlText w:val="%1.%2.%3.%4.%5."/>
      <w:lvlJc w:val="left"/>
      <w:pPr>
        <w:tabs>
          <w:tab w:val="left" w:pos="312"/>
        </w:tabs>
        <w:ind w:left="0" w:leftChars="0" w:firstLine="0" w:firstLineChars="0"/>
      </w:pPr>
      <w:rPr>
        <w:rFonts w:hint="default"/>
      </w:rPr>
    </w:lvl>
    <w:lvl w:ilvl="5" w:tentative="0">
      <w:start w:val="1"/>
      <w:numFmt w:val="decimal"/>
      <w:lvlText w:val="%1.%2.%3.%4.%5.%6."/>
      <w:lvlJc w:val="left"/>
      <w:pPr>
        <w:tabs>
          <w:tab w:val="left" w:pos="312"/>
        </w:tabs>
        <w:ind w:left="0" w:leftChars="0" w:firstLine="0" w:firstLineChars="0"/>
      </w:pPr>
      <w:rPr>
        <w:rFonts w:hint="default"/>
      </w:rPr>
    </w:lvl>
    <w:lvl w:ilvl="6" w:tentative="0">
      <w:start w:val="1"/>
      <w:numFmt w:val="decimal"/>
      <w:lvlText w:val="%1.%2.%3.%4.%5.%6.%7."/>
      <w:lvlJc w:val="left"/>
      <w:pPr>
        <w:tabs>
          <w:tab w:val="left" w:pos="312"/>
        </w:tabs>
        <w:ind w:left="0" w:leftChars="0" w:firstLine="0" w:firstLineChars="0"/>
      </w:pPr>
      <w:rPr>
        <w:rFonts w:hint="default"/>
      </w:rPr>
    </w:lvl>
    <w:lvl w:ilvl="7" w:tentative="0">
      <w:start w:val="1"/>
      <w:numFmt w:val="decimal"/>
      <w:lvlText w:val="%1.%2.%3.%4.%5.%6.%7.%8."/>
      <w:lvlJc w:val="left"/>
      <w:pPr>
        <w:tabs>
          <w:tab w:val="left" w:pos="312"/>
        </w:tabs>
        <w:ind w:left="0" w:leftChars="0" w:firstLine="0" w:firstLineChars="0"/>
      </w:pPr>
      <w:rPr>
        <w:rFonts w:hint="default"/>
      </w:rPr>
    </w:lvl>
    <w:lvl w:ilvl="8" w:tentative="0">
      <w:start w:val="1"/>
      <w:numFmt w:val="decimal"/>
      <w:lvlText w:val="%1.%2.%3.%4.%5.%6.%7.%8.%9."/>
      <w:lvlJc w:val="left"/>
      <w:pPr>
        <w:tabs>
          <w:tab w:val="left" w:pos="312"/>
        </w:tabs>
        <w:ind w:left="0" w:leftChars="0" w:firstLine="0" w:firstLineChars="0"/>
      </w:pPr>
      <w:rPr>
        <w:rFonts w:hint="default"/>
      </w:rPr>
    </w:lvl>
  </w:abstractNum>
  <w:abstractNum w:abstractNumId="2">
    <w:nsid w:val="BADD1582"/>
    <w:multiLevelType w:val="singleLevel"/>
    <w:tmpl w:val="BADD1582"/>
    <w:lvl w:ilvl="0" w:tentative="0">
      <w:start w:val="1"/>
      <w:numFmt w:val="chineseCounting"/>
      <w:suff w:val="nothing"/>
      <w:lvlText w:val="%1、"/>
      <w:lvlJc w:val="left"/>
      <w:rPr>
        <w:rFonts w:hint="eastAsia"/>
      </w:rPr>
    </w:lvl>
  </w:abstractNum>
  <w:abstractNum w:abstractNumId="3">
    <w:nsid w:val="26951C91"/>
    <w:multiLevelType w:val="singleLevel"/>
    <w:tmpl w:val="26951C91"/>
    <w:lvl w:ilvl="0" w:tentative="0">
      <w:start w:val="1"/>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iNzgxN2Y5M2U2NzQ5OGY4OTYxZTdiYzhiNDhiYmMifQ=="/>
  </w:docVars>
  <w:rsids>
    <w:rsidRoot w:val="60D57428"/>
    <w:rsid w:val="063A4FBC"/>
    <w:rsid w:val="078B43C6"/>
    <w:rsid w:val="123A29F6"/>
    <w:rsid w:val="14BD65A4"/>
    <w:rsid w:val="27A720F9"/>
    <w:rsid w:val="2B4C4E27"/>
    <w:rsid w:val="3FC01DEC"/>
    <w:rsid w:val="46E0177E"/>
    <w:rsid w:val="530C166E"/>
    <w:rsid w:val="545013BA"/>
    <w:rsid w:val="60D57428"/>
    <w:rsid w:val="61D856BC"/>
    <w:rsid w:val="78207024"/>
    <w:rsid w:val="7FB15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867</Words>
  <Characters>985</Characters>
  <Lines>0</Lines>
  <Paragraphs>0</Paragraphs>
  <TotalTime>0</TotalTime>
  <ScaleCrop>false</ScaleCrop>
  <LinksUpToDate>false</LinksUpToDate>
  <CharactersWithSpaces>998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2021-07-30T07:28:00Z</dcterms:created>
  <dc:creator>林</dc:creator>
  <cp:lastModifiedBy>陈德玮</cp:lastModifiedBy>
  <cp:lastPrinted>2021-07-30T07:39:00Z</cp:lastPrinted>
  <dcterms:modified xsi:type="dcterms:W3CDTF">2023-05-23T02:33:08Z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D16B103828924B71915D8C455C447B7A</vt:lpwstr>
  </property>
</Properties>
</file>